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E2975" w14:textId="77777777" w:rsidR="005F7D8D" w:rsidRPr="005F7D8D" w:rsidRDefault="005F7D8D" w:rsidP="005F7D8D">
      <w:pPr>
        <w:jc w:val="both"/>
        <w:rPr>
          <w:b/>
          <w:sz w:val="32"/>
          <w:szCs w:val="28"/>
          <w:lang w:val="en-US"/>
        </w:rPr>
      </w:pPr>
      <w:bookmarkStart w:id="0" w:name="_Hlk22720859"/>
    </w:p>
    <w:p w14:paraId="6A5DE4A9" w14:textId="3AD961B8" w:rsidR="005439EA" w:rsidRDefault="005F7D8D" w:rsidP="005F7D8D">
      <w:pPr>
        <w:jc w:val="both"/>
        <w:rPr>
          <w:b/>
          <w:lang w:val="en-US"/>
        </w:rPr>
      </w:pPr>
      <w:r w:rsidRPr="005F7D8D">
        <w:rPr>
          <w:b/>
          <w:sz w:val="32"/>
          <w:szCs w:val="28"/>
          <w:lang w:val="en-US"/>
        </w:rPr>
        <w:t>The dream becomes a reality: Evonik and LIKAT achieve breakthrough in "Dream Reaction" in carbonylation chemistry</w:t>
      </w:r>
    </w:p>
    <w:p w14:paraId="153ADAA0" w14:textId="77777777" w:rsidR="00A45617" w:rsidRPr="00265191" w:rsidRDefault="00A45617" w:rsidP="00A45617">
      <w:pPr>
        <w:jc w:val="both"/>
        <w:rPr>
          <w:lang w:val="en-US"/>
        </w:rPr>
      </w:pPr>
    </w:p>
    <w:bookmarkEnd w:id="0"/>
    <w:p w14:paraId="19B4B04B" w14:textId="77777777" w:rsidR="005F7D8D" w:rsidRPr="00D86843" w:rsidRDefault="005F7D8D" w:rsidP="005F7D8D">
      <w:pPr>
        <w:jc w:val="both"/>
        <w:rPr>
          <w:color w:val="000000" w:themeColor="text1"/>
        </w:rPr>
      </w:pPr>
      <w:r w:rsidRPr="00D86843">
        <w:rPr>
          <w:color w:val="000000" w:themeColor="text1"/>
        </w:rPr>
        <w:t>When producing fine chemicals on a large scale, the cost factor is a decisive point and the demand for cost-effective and efficient synthesis processes is correspondingly high. The optimization of chemical reactions and industrial processes with the help of catalysis as a key technology, enables a more sustainable use of raw materials and energy sources as well as loss-free utilization of the starting materials. A tailor-made catalyst accelerates the reaction, prevents the formation of by-products and thus reduces the energy requirement of the entire process.</w:t>
      </w:r>
    </w:p>
    <w:p w14:paraId="43DBE7B1" w14:textId="77777777" w:rsidR="005F7D8D" w:rsidRPr="00D86843" w:rsidRDefault="005F7D8D" w:rsidP="005F7D8D">
      <w:pPr>
        <w:jc w:val="both"/>
        <w:rPr>
          <w:color w:val="000000" w:themeColor="text1"/>
        </w:rPr>
      </w:pPr>
    </w:p>
    <w:p w14:paraId="66543ED9" w14:textId="77777777" w:rsidR="005F7D8D" w:rsidRPr="00D86843" w:rsidRDefault="005F7D8D" w:rsidP="005F7D8D">
      <w:pPr>
        <w:jc w:val="both"/>
        <w:rPr>
          <w:color w:val="000000" w:themeColor="text1"/>
        </w:rPr>
      </w:pPr>
      <w:r w:rsidRPr="00D86843">
        <w:rPr>
          <w:color w:val="000000" w:themeColor="text1"/>
        </w:rPr>
        <w:t xml:space="preserve">Carbonylation reactions are among the most important applications of industrial catalysis. The </w:t>
      </w:r>
      <w:proofErr w:type="spellStart"/>
      <w:r w:rsidRPr="00D86843">
        <w:rPr>
          <w:color w:val="000000" w:themeColor="text1"/>
        </w:rPr>
        <w:t>catalyzed</w:t>
      </w:r>
      <w:proofErr w:type="spellEnd"/>
      <w:r w:rsidRPr="00D86843">
        <w:rPr>
          <w:color w:val="000000" w:themeColor="text1"/>
        </w:rPr>
        <w:t xml:space="preserve"> introduction of the CO group takes place </w:t>
      </w:r>
      <w:proofErr w:type="gramStart"/>
      <w:r w:rsidRPr="00D86843">
        <w:rPr>
          <w:color w:val="000000" w:themeColor="text1"/>
        </w:rPr>
        <w:t>through the use of</w:t>
      </w:r>
      <w:proofErr w:type="gramEnd"/>
      <w:r w:rsidRPr="00D86843">
        <w:rPr>
          <w:color w:val="000000" w:themeColor="text1"/>
        </w:rPr>
        <w:t xml:space="preserve"> carbon monoxide (CO), which as an important C1 building block in the chemical industry can be obtained both from fossil resources (coal, gas) and from renewable sources (CO2 or biowaste). Carbonyl compounds (aldehydes, acids, esters) are produced annually on a scale of several million tonnes and are used for numerous consumer goods.</w:t>
      </w:r>
    </w:p>
    <w:p w14:paraId="48FC0AF6" w14:textId="77777777" w:rsidR="005F7D8D" w:rsidRPr="00D86843" w:rsidRDefault="005F7D8D" w:rsidP="005F7D8D">
      <w:pPr>
        <w:rPr>
          <w:color w:val="000000" w:themeColor="text1"/>
        </w:rPr>
      </w:pPr>
    </w:p>
    <w:p w14:paraId="083D4A13" w14:textId="77777777" w:rsidR="005F7D8D" w:rsidRPr="00D86843" w:rsidRDefault="005F7D8D" w:rsidP="005F7D8D">
      <w:pPr>
        <w:jc w:val="both"/>
        <w:rPr>
          <w:color w:val="000000" w:themeColor="text1"/>
        </w:rPr>
      </w:pPr>
      <w:r w:rsidRPr="00D86843">
        <w:rPr>
          <w:color w:val="000000" w:themeColor="text1"/>
        </w:rPr>
        <w:t xml:space="preserve">Despite the first discovery of homogeneously </w:t>
      </w:r>
      <w:proofErr w:type="spellStart"/>
      <w:r w:rsidRPr="00D86843">
        <w:rPr>
          <w:color w:val="000000" w:themeColor="text1"/>
        </w:rPr>
        <w:t>catalyzed</w:t>
      </w:r>
      <w:proofErr w:type="spellEnd"/>
      <w:r w:rsidRPr="00D86843">
        <w:rPr>
          <w:color w:val="000000" w:themeColor="text1"/>
        </w:rPr>
        <w:t xml:space="preserve"> carbonylation processes almost eighty years ago, challenges remain unsolved, above all the direct </w:t>
      </w:r>
      <w:proofErr w:type="spellStart"/>
      <w:r w:rsidRPr="00D86843">
        <w:rPr>
          <w:color w:val="000000" w:themeColor="text1"/>
        </w:rPr>
        <w:t>dicarbonylation</w:t>
      </w:r>
      <w:proofErr w:type="spellEnd"/>
      <w:r w:rsidRPr="00D86843">
        <w:rPr>
          <w:color w:val="000000" w:themeColor="text1"/>
        </w:rPr>
        <w:t xml:space="preserve"> of 1,3-dienes. This so-called "dream reaction" would enable a more environmentally friendly, atom-economical production of adipate </w:t>
      </w:r>
      <w:r>
        <w:rPr>
          <w:color w:val="000000" w:themeColor="text1"/>
        </w:rPr>
        <w:t>di</w:t>
      </w:r>
      <w:r w:rsidRPr="00D86843">
        <w:rPr>
          <w:color w:val="000000" w:themeColor="text1"/>
        </w:rPr>
        <w:t xml:space="preserve">esters. These compounds are building blocks of polyamides and polyesters which are produced on a large scale. </w:t>
      </w:r>
      <w:proofErr w:type="gramStart"/>
      <w:r w:rsidRPr="00D86843">
        <w:rPr>
          <w:color w:val="000000" w:themeColor="text1"/>
        </w:rPr>
        <w:t>In particular, adipate</w:t>
      </w:r>
      <w:proofErr w:type="gramEnd"/>
      <w:r w:rsidRPr="00D86843">
        <w:rPr>
          <w:color w:val="000000" w:themeColor="text1"/>
        </w:rPr>
        <w:t xml:space="preserve"> diesters are used in plasticizers, perfumes, lubricants, solvents, various pharmaceutical active ingredients and, in terms of quantity, mainly for the production of nylon. </w:t>
      </w:r>
    </w:p>
    <w:p w14:paraId="324F720D" w14:textId="77777777" w:rsidR="005F7D8D" w:rsidRPr="00D86843" w:rsidRDefault="005F7D8D" w:rsidP="005F7D8D">
      <w:pPr>
        <w:jc w:val="both"/>
        <w:rPr>
          <w:color w:val="000000" w:themeColor="text1"/>
        </w:rPr>
      </w:pPr>
      <w:r w:rsidRPr="00D86843">
        <w:rPr>
          <w:color w:val="000000" w:themeColor="text1"/>
        </w:rPr>
        <w:t xml:space="preserve">Currently, </w:t>
      </w:r>
      <w:r>
        <w:rPr>
          <w:color w:val="000000" w:themeColor="text1"/>
        </w:rPr>
        <w:t>adipate</w:t>
      </w:r>
      <w:r w:rsidRPr="00D86843">
        <w:rPr>
          <w:color w:val="000000" w:themeColor="text1"/>
        </w:rPr>
        <w:t xml:space="preserve"> diesters are produced industrially by oxidising a mixture of cyclohexanol and cyclohexanone with an excess of nitric acid, followed by esterification with the corresponding alcohols. This process requires special equipment due to the corrosive effect of the acid. In addition, stoichiometric amounts of nitrous oxide (N</w:t>
      </w:r>
      <w:r w:rsidRPr="00D86843">
        <w:rPr>
          <w:color w:val="000000" w:themeColor="text1"/>
          <w:vertAlign w:val="subscript"/>
        </w:rPr>
        <w:t>2</w:t>
      </w:r>
      <w:r w:rsidRPr="00D86843">
        <w:rPr>
          <w:color w:val="000000" w:themeColor="text1"/>
        </w:rPr>
        <w:t>O) are released, which while binding stratospheric ozone, is 300 times more harmful than CO</w:t>
      </w:r>
      <w:r w:rsidRPr="00D86843">
        <w:rPr>
          <w:color w:val="000000" w:themeColor="text1"/>
          <w:vertAlign w:val="subscript"/>
        </w:rPr>
        <w:t>2</w:t>
      </w:r>
      <w:r w:rsidRPr="00D86843">
        <w:rPr>
          <w:color w:val="000000" w:themeColor="text1"/>
        </w:rPr>
        <w:t xml:space="preserve"> as a greenhouse gas. </w:t>
      </w:r>
    </w:p>
    <w:p w14:paraId="2CD72A93" w14:textId="77777777" w:rsidR="005F7D8D" w:rsidRPr="00D86843" w:rsidRDefault="005F7D8D" w:rsidP="005F7D8D">
      <w:pPr>
        <w:jc w:val="both"/>
        <w:rPr>
          <w:color w:val="000000" w:themeColor="text1"/>
        </w:rPr>
      </w:pPr>
    </w:p>
    <w:p w14:paraId="558918AD" w14:textId="77777777" w:rsidR="005F7D8D" w:rsidRPr="00D86843" w:rsidRDefault="005F7D8D" w:rsidP="005F7D8D">
      <w:pPr>
        <w:jc w:val="both"/>
        <w:rPr>
          <w:color w:val="000000" w:themeColor="text1"/>
        </w:rPr>
      </w:pPr>
      <w:r w:rsidRPr="00D86843">
        <w:rPr>
          <w:color w:val="000000" w:themeColor="text1"/>
        </w:rPr>
        <w:t xml:space="preserve">This makes the work of the LIKAT scientists (Prof. </w:t>
      </w:r>
      <w:proofErr w:type="spellStart"/>
      <w:r w:rsidRPr="00D86843">
        <w:rPr>
          <w:color w:val="000000" w:themeColor="text1"/>
        </w:rPr>
        <w:t>Dr.</w:t>
      </w:r>
      <w:proofErr w:type="spellEnd"/>
      <w:r w:rsidRPr="00D86843">
        <w:rPr>
          <w:color w:val="000000" w:themeColor="text1"/>
        </w:rPr>
        <w:t xml:space="preserve"> Matthias </w:t>
      </w:r>
      <w:proofErr w:type="spellStart"/>
      <w:r w:rsidRPr="00D86843">
        <w:rPr>
          <w:color w:val="000000" w:themeColor="text1"/>
        </w:rPr>
        <w:t>Beller</w:t>
      </w:r>
      <w:proofErr w:type="spellEnd"/>
      <w:r w:rsidRPr="00D86843">
        <w:rPr>
          <w:color w:val="000000" w:themeColor="text1"/>
        </w:rPr>
        <w:t xml:space="preserve">, </w:t>
      </w:r>
      <w:proofErr w:type="spellStart"/>
      <w:r w:rsidRPr="00D86843">
        <w:rPr>
          <w:color w:val="000000" w:themeColor="text1"/>
        </w:rPr>
        <w:t>Dr.</w:t>
      </w:r>
      <w:proofErr w:type="spellEnd"/>
      <w:r w:rsidRPr="00D86843">
        <w:rPr>
          <w:color w:val="000000" w:themeColor="text1"/>
        </w:rPr>
        <w:t xml:space="preserve"> Ralf </w:t>
      </w:r>
      <w:proofErr w:type="spellStart"/>
      <w:r w:rsidRPr="00D86843">
        <w:rPr>
          <w:color w:val="000000" w:themeColor="text1"/>
        </w:rPr>
        <w:t>Jackstell</w:t>
      </w:r>
      <w:proofErr w:type="spellEnd"/>
      <w:r w:rsidRPr="00D86843">
        <w:rPr>
          <w:color w:val="000000" w:themeColor="text1"/>
        </w:rPr>
        <w:t xml:space="preserve">, </w:t>
      </w:r>
      <w:proofErr w:type="spellStart"/>
      <w:r w:rsidRPr="00D86843">
        <w:rPr>
          <w:color w:val="000000" w:themeColor="text1"/>
        </w:rPr>
        <w:t>Dr.</w:t>
      </w:r>
      <w:proofErr w:type="spellEnd"/>
      <w:r w:rsidRPr="00D86843">
        <w:rPr>
          <w:color w:val="000000" w:themeColor="text1"/>
        </w:rPr>
        <w:t xml:space="preserve"> </w:t>
      </w:r>
      <w:proofErr w:type="spellStart"/>
      <w:r w:rsidRPr="00D86843">
        <w:rPr>
          <w:color w:val="000000" w:themeColor="text1"/>
        </w:rPr>
        <w:t>Helfried</w:t>
      </w:r>
      <w:proofErr w:type="spellEnd"/>
      <w:r w:rsidRPr="00D86843">
        <w:rPr>
          <w:color w:val="000000" w:themeColor="text1"/>
        </w:rPr>
        <w:t xml:space="preserve"> Neumann, </w:t>
      </w:r>
      <w:proofErr w:type="spellStart"/>
      <w:r w:rsidRPr="00D86843">
        <w:rPr>
          <w:color w:val="000000" w:themeColor="text1"/>
        </w:rPr>
        <w:t>Jiawang</w:t>
      </w:r>
      <w:proofErr w:type="spellEnd"/>
      <w:r w:rsidRPr="00D86843">
        <w:rPr>
          <w:color w:val="000000" w:themeColor="text1"/>
        </w:rPr>
        <w:t xml:space="preserve"> Liu, </w:t>
      </w:r>
      <w:proofErr w:type="spellStart"/>
      <w:r w:rsidRPr="00D86843">
        <w:rPr>
          <w:color w:val="000000" w:themeColor="text1"/>
        </w:rPr>
        <w:t>JiYang</w:t>
      </w:r>
      <w:proofErr w:type="spellEnd"/>
      <w:r w:rsidRPr="00D86843">
        <w:rPr>
          <w:color w:val="000000" w:themeColor="text1"/>
        </w:rPr>
        <w:t xml:space="preserve">) in cooperation with Prof. </w:t>
      </w:r>
      <w:proofErr w:type="spellStart"/>
      <w:r w:rsidRPr="00D86843">
        <w:rPr>
          <w:color w:val="000000" w:themeColor="text1"/>
        </w:rPr>
        <w:t>Dr.</w:t>
      </w:r>
      <w:proofErr w:type="spellEnd"/>
      <w:r w:rsidRPr="00D86843">
        <w:rPr>
          <w:color w:val="000000" w:themeColor="text1"/>
        </w:rPr>
        <w:t xml:space="preserve"> Robert Franke, Evonik Performance Materials GmbH and Associate Professor of Chemistry at the Ruhr University Bochum </w:t>
      </w:r>
      <w:proofErr w:type="gramStart"/>
      <w:r w:rsidRPr="00D86843">
        <w:rPr>
          <w:color w:val="000000" w:themeColor="text1"/>
        </w:rPr>
        <w:t>all the more</w:t>
      </w:r>
      <w:proofErr w:type="gramEnd"/>
      <w:r w:rsidRPr="00D86843">
        <w:rPr>
          <w:color w:val="000000" w:themeColor="text1"/>
        </w:rPr>
        <w:t xml:space="preserve"> impressive and significant. They developed a palladium catalyst with a specially designed pyridyl functionalized </w:t>
      </w:r>
      <w:proofErr w:type="spellStart"/>
      <w:r w:rsidRPr="00D86843">
        <w:rPr>
          <w:color w:val="000000" w:themeColor="text1"/>
        </w:rPr>
        <w:t>bisphosphine</w:t>
      </w:r>
      <w:proofErr w:type="spellEnd"/>
      <w:r w:rsidRPr="00D86843">
        <w:rPr>
          <w:color w:val="000000" w:themeColor="text1"/>
        </w:rPr>
        <w:t xml:space="preserve"> ligand that enables the highly selective and </w:t>
      </w:r>
      <w:r w:rsidRPr="00D86843">
        <w:rPr>
          <w:color w:val="000000" w:themeColor="text1"/>
        </w:rPr>
        <w:lastRenderedPageBreak/>
        <w:t>efficient double alkoxy carbonylation of 1,3-butadiene to adipic acid esters in one step.</w:t>
      </w:r>
    </w:p>
    <w:p w14:paraId="0784856F" w14:textId="77777777" w:rsidR="005F7D8D" w:rsidRPr="00D86843" w:rsidRDefault="005F7D8D" w:rsidP="005F7D8D">
      <w:pPr>
        <w:jc w:val="both"/>
        <w:rPr>
          <w:color w:val="000000" w:themeColor="text1"/>
        </w:rPr>
      </w:pPr>
      <w:r w:rsidRPr="00D86843">
        <w:rPr>
          <w:color w:val="000000" w:themeColor="text1"/>
        </w:rPr>
        <w:t xml:space="preserve">The key to success was the ligand design. The combination of a bidentate phosphine ligand with a basic pyridyl substituent on the phosphorus and a palladium precursor provides </w:t>
      </w:r>
      <w:proofErr w:type="spellStart"/>
      <w:r w:rsidRPr="00D86843">
        <w:rPr>
          <w:color w:val="000000" w:themeColor="text1"/>
        </w:rPr>
        <w:t>dialkyl</w:t>
      </w:r>
      <w:proofErr w:type="spellEnd"/>
      <w:r>
        <w:rPr>
          <w:color w:val="000000" w:themeColor="text1"/>
        </w:rPr>
        <w:t xml:space="preserve"> </w:t>
      </w:r>
      <w:r w:rsidRPr="00D86843">
        <w:rPr>
          <w:color w:val="000000" w:themeColor="text1"/>
        </w:rPr>
        <w:t xml:space="preserve">adipates in the </w:t>
      </w:r>
      <w:proofErr w:type="spellStart"/>
      <w:r w:rsidRPr="00D86843">
        <w:rPr>
          <w:color w:val="000000" w:themeColor="text1"/>
        </w:rPr>
        <w:t>dicarbonylation</w:t>
      </w:r>
      <w:proofErr w:type="spellEnd"/>
      <w:r w:rsidRPr="00D86843">
        <w:rPr>
          <w:color w:val="000000" w:themeColor="text1"/>
        </w:rPr>
        <w:t xml:space="preserve"> of 1,3-butadiene in a ≥95% yield and with ≥97% selectivity.</w:t>
      </w:r>
    </w:p>
    <w:p w14:paraId="01FFABF9" w14:textId="77777777" w:rsidR="005F7D8D" w:rsidRPr="00A66766" w:rsidRDefault="005F7D8D" w:rsidP="005F7D8D">
      <w:pPr>
        <w:jc w:val="both"/>
      </w:pPr>
    </w:p>
    <w:p w14:paraId="48752F39" w14:textId="77777777" w:rsidR="005F7D8D" w:rsidRPr="00207176" w:rsidRDefault="005F7D8D" w:rsidP="005F7D8D">
      <w:pPr>
        <w:jc w:val="both"/>
      </w:pPr>
      <w:r w:rsidRPr="00A66766">
        <w:t xml:space="preserve">The difficulty lies in the complexity of the </w:t>
      </w:r>
      <w:proofErr w:type="spellStart"/>
      <w:r w:rsidRPr="00A66766">
        <w:t>dicarbonylation</w:t>
      </w:r>
      <w:proofErr w:type="spellEnd"/>
      <w:r w:rsidRPr="00A66766">
        <w:t xml:space="preserve"> reaction, which as a rule tends to form numerous by-products (Fig. 1). </w:t>
      </w:r>
      <w:r w:rsidRPr="00207176">
        <w:t>The simultaneous introduction of two CO groups poses several challenges in this catalytic process: (</w:t>
      </w:r>
      <w:proofErr w:type="spellStart"/>
      <w:r w:rsidRPr="00207176">
        <w:t>i</w:t>
      </w:r>
      <w:proofErr w:type="spellEnd"/>
      <w:r w:rsidRPr="00207176">
        <w:t xml:space="preserve">) The </w:t>
      </w:r>
      <w:r w:rsidRPr="00D86843">
        <w:rPr>
          <w:color w:val="000000" w:themeColor="text1"/>
        </w:rPr>
        <w:t xml:space="preserve">simultaneous creation </w:t>
      </w:r>
      <w:r w:rsidRPr="00207176">
        <w:t xml:space="preserve">of two different carbonylation reactions on a diene substrate (which no other working group had succeeded in doing before); (ii) The selective formation of the linear </w:t>
      </w:r>
      <w:proofErr w:type="spellStart"/>
      <w:r w:rsidRPr="00207176">
        <w:t>dicarbonylation</w:t>
      </w:r>
      <w:proofErr w:type="spellEnd"/>
      <w:r w:rsidRPr="00207176">
        <w:t xml:space="preserve"> product, despite the fact that the isomerization of the originally formed </w:t>
      </w:r>
      <w:proofErr w:type="spellStart"/>
      <w:r w:rsidRPr="00207176">
        <w:t>monocarbonylated</w:t>
      </w:r>
      <w:proofErr w:type="spellEnd"/>
      <w:r w:rsidRPr="00207176">
        <w:t xml:space="preserve"> intermediate to the terminal olefin is thermodynamically particularly </w:t>
      </w:r>
      <w:proofErr w:type="spellStart"/>
      <w:r w:rsidRPr="00207176">
        <w:t>unfavorable</w:t>
      </w:r>
      <w:proofErr w:type="spellEnd"/>
      <w:r w:rsidRPr="00207176">
        <w:t xml:space="preserve">; (iii) </w:t>
      </w:r>
      <w:r w:rsidRPr="00065F11">
        <w:t>the suppression of other secondary reactions such as telomerisation, hydroalkoxylation and (co)polymerisation</w:t>
      </w:r>
      <w:r w:rsidRPr="00207176">
        <w:t>.</w:t>
      </w:r>
    </w:p>
    <w:p w14:paraId="52A1674A" w14:textId="77777777" w:rsidR="005F7D8D" w:rsidRPr="00207176" w:rsidRDefault="005F7D8D" w:rsidP="005F7D8D">
      <w:pPr>
        <w:jc w:val="both"/>
      </w:pPr>
    </w:p>
    <w:p w14:paraId="15045A9A" w14:textId="77777777" w:rsidR="005F7D8D" w:rsidRDefault="005F7D8D" w:rsidP="005F7D8D">
      <w:pPr>
        <w:keepNext/>
        <w:spacing w:line="240" w:lineRule="auto"/>
        <w:jc w:val="center"/>
      </w:pPr>
      <w:r>
        <w:object w:dxaOrig="9960" w:dyaOrig="4692" w14:anchorId="54CB7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9.5pt;height:164.25pt" o:ole="">
            <v:imagedata r:id="rId7" o:title=""/>
          </v:shape>
          <o:OLEObject Type="Embed" ProgID="ChemDraw.Document.6.0" ShapeID="_x0000_i1027" DrawAspect="Content" ObjectID="_1636972667" r:id="rId8"/>
        </w:object>
      </w:r>
    </w:p>
    <w:p w14:paraId="63147BD1" w14:textId="77777777" w:rsidR="005F7D8D" w:rsidRPr="00C2637A" w:rsidRDefault="005F7D8D" w:rsidP="005F7D8D">
      <w:pPr>
        <w:pStyle w:val="Beschriftung"/>
        <w:spacing w:after="0"/>
        <w:jc w:val="both"/>
        <w:rPr>
          <w:i w:val="0"/>
          <w:iCs w:val="0"/>
          <w:lang w:val="en-GB"/>
        </w:rPr>
      </w:pPr>
      <w:r w:rsidRPr="00C2637A">
        <w:rPr>
          <w:lang w:val="en-GB"/>
        </w:rPr>
        <w:t xml:space="preserve">Fig. 1: Complex network of reactions involved in the synthesis of </w:t>
      </w:r>
      <w:proofErr w:type="spellStart"/>
      <w:r w:rsidRPr="00C2637A">
        <w:rPr>
          <w:lang w:val="en-GB"/>
        </w:rPr>
        <w:t>adipatic</w:t>
      </w:r>
      <w:proofErr w:type="spellEnd"/>
      <w:r w:rsidRPr="00C2637A">
        <w:rPr>
          <w:lang w:val="en-GB"/>
        </w:rPr>
        <w:t xml:space="preserve"> diesters from 1,3-butadiene, carbon monoxide and alcohol</w:t>
      </w:r>
      <w:r w:rsidRPr="00C2637A">
        <w:rPr>
          <w:i w:val="0"/>
          <w:iCs w:val="0"/>
          <w:lang w:val="en-GB"/>
        </w:rPr>
        <w:t>.</w:t>
      </w:r>
    </w:p>
    <w:p w14:paraId="23DEF1C5" w14:textId="77777777" w:rsidR="005F7D8D" w:rsidRPr="00C2637A" w:rsidRDefault="005F7D8D" w:rsidP="005F7D8D">
      <w:pPr>
        <w:jc w:val="both"/>
      </w:pPr>
    </w:p>
    <w:p w14:paraId="3AEDDB2C" w14:textId="77777777" w:rsidR="005F7D8D" w:rsidRPr="00065F11" w:rsidRDefault="005F7D8D" w:rsidP="005F7D8D">
      <w:pPr>
        <w:jc w:val="both"/>
      </w:pPr>
      <w:r w:rsidRPr="00065F11">
        <w:t>In the development of a suitable catalyst, palladium-coordinated, base modified derivatives of the 1,2-bis</w:t>
      </w:r>
      <w:r>
        <w:t xml:space="preserve"> </w:t>
      </w:r>
      <w:r w:rsidRPr="00065F11">
        <w:t>[(di-tert-</w:t>
      </w:r>
      <w:proofErr w:type="spellStart"/>
      <w:r w:rsidRPr="00065F11">
        <w:t>butylphosphino</w:t>
      </w:r>
      <w:proofErr w:type="spellEnd"/>
      <w:r w:rsidRPr="00065F11">
        <w:t>)</w:t>
      </w:r>
      <w:r>
        <w:t xml:space="preserve"> </w:t>
      </w:r>
      <w:r w:rsidRPr="00065F11">
        <w:t>methyl]</w:t>
      </w:r>
      <w:r>
        <w:t xml:space="preserve"> </w:t>
      </w:r>
      <w:r w:rsidRPr="00065F11">
        <w:t xml:space="preserve">benzene ligand (L1, </w:t>
      </w:r>
      <w:proofErr w:type="spellStart"/>
      <w:r w:rsidRPr="00065F11">
        <w:t>dtbpx</w:t>
      </w:r>
      <w:proofErr w:type="spellEnd"/>
      <w:r w:rsidRPr="00065F11">
        <w:t xml:space="preserve">), which is used for the large-scale production of methyl methacrylate, were selected as the catalyst of choice. Initial optimization studies with this ligand showed low activity but good selectivity (Table 1). The installation of suitable basic groups leads to a significant increase in activity. However, as the direct comparison between L1 and the dual base-modified L4 shows, this is at the expense of selectivity. The solution was to combine the </w:t>
      </w:r>
      <w:r w:rsidRPr="00065F11">
        <w:lastRenderedPageBreak/>
        <w:t>two structural elements. The specially developed L5 (</w:t>
      </w:r>
      <w:proofErr w:type="spellStart"/>
      <w:r w:rsidRPr="00065F11">
        <w:t>HeMaRaphos</w:t>
      </w:r>
      <w:proofErr w:type="spellEnd"/>
      <w:r w:rsidRPr="00065F11">
        <w:t>) combines the excellent selectivity of L1 and the high reactivity of L4.</w:t>
      </w:r>
    </w:p>
    <w:p w14:paraId="51FE0133" w14:textId="77777777" w:rsidR="005F7D8D" w:rsidRPr="00065F11" w:rsidRDefault="005F7D8D" w:rsidP="005F7D8D">
      <w:pPr>
        <w:jc w:val="both"/>
      </w:pPr>
    </w:p>
    <w:p w14:paraId="1880CFAE" w14:textId="77777777" w:rsidR="005F7D8D" w:rsidRDefault="005F7D8D" w:rsidP="005F7D8D">
      <w:pPr>
        <w:keepNext/>
        <w:spacing w:line="240" w:lineRule="auto"/>
      </w:pPr>
      <w:r>
        <w:object w:dxaOrig="13348" w:dyaOrig="3763" w14:anchorId="1DEC9FA1">
          <v:shape id="_x0000_i1028" type="#_x0000_t75" style="width:453pt;height:127.5pt" o:ole="">
            <v:imagedata r:id="rId9" o:title=""/>
          </v:shape>
          <o:OLEObject Type="Embed" ProgID="ChemDraw.Document.6.0" ShapeID="_x0000_i1028" DrawAspect="Content" ObjectID="_1636972668" r:id="rId10"/>
        </w:object>
      </w:r>
    </w:p>
    <w:p w14:paraId="20AC0AFF" w14:textId="77777777" w:rsidR="005F7D8D" w:rsidRPr="00C2637A" w:rsidRDefault="005F7D8D" w:rsidP="005F7D8D">
      <w:pPr>
        <w:pStyle w:val="Beschriftung"/>
        <w:spacing w:after="0"/>
        <w:rPr>
          <w:i w:val="0"/>
          <w:iCs w:val="0"/>
          <w:lang w:val="en-GB"/>
        </w:rPr>
      </w:pPr>
      <w:r w:rsidRPr="00C2637A">
        <w:rPr>
          <w:lang w:val="en-GB"/>
        </w:rPr>
        <w:t xml:space="preserve">Table 1: Comparison of the different phosphine ligands </w:t>
      </w:r>
      <w:proofErr w:type="gramStart"/>
      <w:r w:rsidRPr="00C2637A">
        <w:rPr>
          <w:lang w:val="en-GB"/>
        </w:rPr>
        <w:t>with regard to</w:t>
      </w:r>
      <w:proofErr w:type="gramEnd"/>
      <w:r w:rsidRPr="00C2637A">
        <w:rPr>
          <w:lang w:val="en-GB"/>
        </w:rPr>
        <w:t xml:space="preserve"> reactivity and selectivity</w:t>
      </w:r>
      <w:r w:rsidRPr="00C2637A">
        <w:rPr>
          <w:i w:val="0"/>
          <w:iCs w:val="0"/>
          <w:lang w:val="en-GB"/>
        </w:rPr>
        <w:t>.</w:t>
      </w:r>
    </w:p>
    <w:p w14:paraId="032EA8BD" w14:textId="77777777" w:rsidR="005F7D8D" w:rsidRPr="00C2637A" w:rsidRDefault="005F7D8D" w:rsidP="005F7D8D"/>
    <w:p w14:paraId="2510F3F4" w14:textId="4F095030" w:rsidR="005439EA" w:rsidRDefault="005F7D8D" w:rsidP="00A45617">
      <w:pPr>
        <w:jc w:val="both"/>
        <w:rPr>
          <w:lang w:val="en-US"/>
        </w:rPr>
      </w:pPr>
      <w:r w:rsidRPr="00C601B4">
        <w:t xml:space="preserve">Through supplementary studies on the performance and optimization of the catalyst system, the direct double carbonylation of 1,3-butadiene to adipate diesters with high catalyst sales figures (&gt; 60,000), high yields (up to 95%) and outstanding selectivity (&gt; 97%) is now possible. The catalyst system can also be transferred to other dienes, paving the way for a revolutionary synthesis process for many fine chemical productions. </w:t>
      </w:r>
    </w:p>
    <w:p w14:paraId="166BA1BF" w14:textId="77777777" w:rsidR="005439EA" w:rsidRDefault="005439EA" w:rsidP="00A45617">
      <w:pPr>
        <w:jc w:val="both"/>
        <w:rPr>
          <w:lang w:val="en-US"/>
        </w:rPr>
      </w:pPr>
    </w:p>
    <w:p w14:paraId="3A28E884" w14:textId="77777777" w:rsidR="005439EA" w:rsidRPr="00265191" w:rsidRDefault="005439EA" w:rsidP="00A45617">
      <w:pPr>
        <w:jc w:val="both"/>
        <w:rPr>
          <w:lang w:val="en-US"/>
        </w:rPr>
      </w:pPr>
    </w:p>
    <w:p w14:paraId="4E6CD869" w14:textId="77777777" w:rsidR="004F1918" w:rsidRDefault="004F1918" w:rsidP="00A45617">
      <w:pPr>
        <w:jc w:val="both"/>
        <w:rPr>
          <w:lang w:val="en-US"/>
        </w:rPr>
      </w:pPr>
    </w:p>
    <w:p w14:paraId="40B7006C" w14:textId="77777777" w:rsidR="00A45617" w:rsidRDefault="00A45617" w:rsidP="00A45617">
      <w:pPr>
        <w:jc w:val="both"/>
        <w:rPr>
          <w:lang w:val="en-US"/>
        </w:rPr>
      </w:pPr>
    </w:p>
    <w:p w14:paraId="4A2ED7A5" w14:textId="1421123A" w:rsidR="00A45617" w:rsidRDefault="00A45617" w:rsidP="00FA5F66">
      <w:pPr>
        <w:autoSpaceDE w:val="0"/>
        <w:autoSpaceDN w:val="0"/>
        <w:adjustRightInd w:val="0"/>
        <w:spacing w:line="220" w:lineRule="exact"/>
        <w:jc w:val="both"/>
        <w:rPr>
          <w:rFonts w:cs="Lucida Sans Unicode"/>
          <w:b/>
          <w:color w:val="808080" w:themeColor="background1" w:themeShade="80"/>
          <w:sz w:val="16"/>
          <w:szCs w:val="18"/>
          <w:lang w:val="en-US"/>
        </w:rPr>
      </w:pPr>
      <w:r w:rsidRPr="00A45617">
        <w:rPr>
          <w:rFonts w:cs="Lucida Sans Unicode"/>
          <w:b/>
          <w:color w:val="808080" w:themeColor="background1" w:themeShade="80"/>
          <w:sz w:val="16"/>
          <w:szCs w:val="18"/>
          <w:lang w:val="en-US"/>
        </w:rPr>
        <w:t>This information and all further technical</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advice are based on our present knowledge</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and experience. However, it implies</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no liability or other legal responsibility on</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our part, including with regard to existing</w:t>
      </w:r>
      <w:r w:rsidR="00FA5F66">
        <w:rPr>
          <w:rFonts w:cs="Lucida Sans Unicode"/>
          <w:b/>
          <w:color w:val="808080" w:themeColor="background1" w:themeShade="80"/>
          <w:sz w:val="16"/>
          <w:szCs w:val="18"/>
          <w:lang w:val="en-US"/>
        </w:rPr>
        <w:t xml:space="preserve"> </w:t>
      </w:r>
      <w:r w:rsidR="00FA5F66" w:rsidRPr="00A45617">
        <w:rPr>
          <w:rFonts w:cs="Lucida Sans Unicode"/>
          <w:b/>
          <w:color w:val="808080" w:themeColor="background1" w:themeShade="80"/>
          <w:sz w:val="16"/>
          <w:szCs w:val="18"/>
          <w:lang w:val="en-US"/>
        </w:rPr>
        <w:t>third-party</w:t>
      </w:r>
      <w:r w:rsidRPr="00A45617">
        <w:rPr>
          <w:rFonts w:cs="Lucida Sans Unicode"/>
          <w:b/>
          <w:color w:val="808080" w:themeColor="background1" w:themeShade="80"/>
          <w:sz w:val="16"/>
          <w:szCs w:val="18"/>
          <w:lang w:val="en-US"/>
        </w:rPr>
        <w:t xml:space="preserve"> intellectual property rights,</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 xml:space="preserve">especially patent rights. </w:t>
      </w:r>
      <w:proofErr w:type="gramStart"/>
      <w:r w:rsidRPr="00A45617">
        <w:rPr>
          <w:rFonts w:cs="Lucida Sans Unicode"/>
          <w:b/>
          <w:color w:val="808080" w:themeColor="background1" w:themeShade="80"/>
          <w:sz w:val="16"/>
          <w:szCs w:val="18"/>
          <w:lang w:val="en-US"/>
        </w:rPr>
        <w:t>In particular,</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no</w:t>
      </w:r>
      <w:proofErr w:type="gramEnd"/>
      <w:r w:rsidRPr="00A45617">
        <w:rPr>
          <w:rFonts w:cs="Lucida Sans Unicode"/>
          <w:b/>
          <w:color w:val="808080" w:themeColor="background1" w:themeShade="80"/>
          <w:sz w:val="16"/>
          <w:szCs w:val="18"/>
          <w:lang w:val="en-US"/>
        </w:rPr>
        <w:t xml:space="preserve"> warranty, whether express or implied,</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or guarantee of product properties in the</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legal sense is intended or implied.</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We reserve the right to make any changes</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according to technological progress or</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further developments. The customer is</w:t>
      </w:r>
      <w:r w:rsidR="00FA5F66">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not released from the obligation to conduct</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careful inspection and testing of</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incoming goods. Performance of the</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product described herein should be verified</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by testing, which should be carried</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out only by qualified experts in the sole</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responsibility of a customer. Reference to</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trade names used by other companies is</w:t>
      </w:r>
      <w:r w:rsidR="00FA5F66">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neither a recommendation, nor does it</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imply that similar products could not be</w:t>
      </w:r>
      <w:r>
        <w:rPr>
          <w:rFonts w:cs="Lucida Sans Unicode"/>
          <w:b/>
          <w:color w:val="808080" w:themeColor="background1" w:themeShade="80"/>
          <w:sz w:val="16"/>
          <w:szCs w:val="18"/>
          <w:lang w:val="en-US"/>
        </w:rPr>
        <w:t xml:space="preserve"> </w:t>
      </w:r>
      <w:r w:rsidRPr="00A45617">
        <w:rPr>
          <w:rFonts w:cs="Lucida Sans Unicode"/>
          <w:b/>
          <w:color w:val="808080" w:themeColor="background1" w:themeShade="80"/>
          <w:sz w:val="16"/>
          <w:szCs w:val="18"/>
          <w:lang w:val="en-US"/>
        </w:rPr>
        <w:t>used.</w:t>
      </w:r>
    </w:p>
    <w:p w14:paraId="0213A93D" w14:textId="77777777" w:rsidR="00A45617" w:rsidRDefault="00A45617" w:rsidP="00A45617">
      <w:pPr>
        <w:autoSpaceDE w:val="0"/>
        <w:autoSpaceDN w:val="0"/>
        <w:adjustRightInd w:val="0"/>
        <w:spacing w:line="220" w:lineRule="exact"/>
        <w:jc w:val="both"/>
        <w:rPr>
          <w:rFonts w:cs="Lucida Sans Unicode"/>
          <w:b/>
          <w:color w:val="808080" w:themeColor="background1" w:themeShade="80"/>
          <w:sz w:val="16"/>
          <w:szCs w:val="18"/>
          <w:lang w:val="en-US"/>
        </w:rPr>
      </w:pPr>
    </w:p>
    <w:p w14:paraId="475049E6" w14:textId="77777777" w:rsidR="00A45617" w:rsidRPr="006B0DFA" w:rsidRDefault="00A45617" w:rsidP="00A45617">
      <w:pPr>
        <w:autoSpaceDE w:val="0"/>
        <w:autoSpaceDN w:val="0"/>
        <w:adjustRightInd w:val="0"/>
        <w:spacing w:line="220" w:lineRule="exact"/>
        <w:jc w:val="both"/>
        <w:rPr>
          <w:rFonts w:cs="Lucida Sans Unicode"/>
          <w:b/>
          <w:color w:val="808080" w:themeColor="background1" w:themeShade="80"/>
          <w:sz w:val="16"/>
          <w:szCs w:val="18"/>
          <w:lang w:val="en-US"/>
        </w:rPr>
      </w:pPr>
      <w:r w:rsidRPr="006B0DFA">
        <w:rPr>
          <w:rFonts w:cs="Lucida Sans Unicode"/>
          <w:b/>
          <w:color w:val="808080" w:themeColor="background1" w:themeShade="80"/>
          <w:sz w:val="16"/>
          <w:szCs w:val="18"/>
          <w:lang w:val="en-US"/>
        </w:rPr>
        <w:t>EVONIK</w:t>
      </w:r>
      <w:r>
        <w:rPr>
          <w:rFonts w:cs="Lucida Sans Unicode"/>
          <w:b/>
          <w:color w:val="808080" w:themeColor="background1" w:themeShade="80"/>
          <w:sz w:val="16"/>
          <w:szCs w:val="18"/>
          <w:lang w:val="en-US"/>
        </w:rPr>
        <w:t xml:space="preserve"> </w:t>
      </w:r>
      <w:r w:rsidRPr="006B0DFA">
        <w:rPr>
          <w:rFonts w:cs="Lucida Sans Unicode"/>
          <w:b/>
          <w:color w:val="808080" w:themeColor="background1" w:themeShade="80"/>
          <w:sz w:val="16"/>
          <w:szCs w:val="18"/>
          <w:lang w:val="en-US"/>
        </w:rPr>
        <w:t>PERFORMANCE MATERIALS GMBH</w:t>
      </w:r>
    </w:p>
    <w:p w14:paraId="6E2FD3FF" w14:textId="77777777" w:rsidR="00A45617" w:rsidRPr="006B0DFA" w:rsidRDefault="00A45617" w:rsidP="00A45617">
      <w:pPr>
        <w:autoSpaceDE w:val="0"/>
        <w:autoSpaceDN w:val="0"/>
        <w:adjustRightInd w:val="0"/>
        <w:spacing w:line="220" w:lineRule="exact"/>
        <w:jc w:val="both"/>
        <w:rPr>
          <w:rFonts w:cs="Lucida Sans Unicode"/>
          <w:b/>
          <w:color w:val="808080" w:themeColor="background1" w:themeShade="80"/>
          <w:sz w:val="16"/>
          <w:szCs w:val="18"/>
          <w:lang w:val="en-US"/>
        </w:rPr>
      </w:pPr>
      <w:r w:rsidRPr="006B0DFA">
        <w:rPr>
          <w:rFonts w:cs="Lucida Sans Unicode"/>
          <w:b/>
          <w:color w:val="808080" w:themeColor="background1" w:themeShade="80"/>
          <w:sz w:val="16"/>
          <w:szCs w:val="18"/>
          <w:lang w:val="en-US"/>
        </w:rPr>
        <w:t>Performance Intermediates</w:t>
      </w:r>
    </w:p>
    <w:p w14:paraId="3BE4CD81" w14:textId="33562638" w:rsidR="00A45617" w:rsidRPr="006B0DFA" w:rsidRDefault="00A45617" w:rsidP="00A45617">
      <w:pPr>
        <w:autoSpaceDE w:val="0"/>
        <w:autoSpaceDN w:val="0"/>
        <w:adjustRightInd w:val="0"/>
        <w:spacing w:line="220" w:lineRule="exact"/>
        <w:jc w:val="both"/>
        <w:rPr>
          <w:rFonts w:cs="Lucida Sans Unicode"/>
          <w:b/>
          <w:color w:val="808080" w:themeColor="background1" w:themeShade="80"/>
          <w:sz w:val="16"/>
          <w:szCs w:val="18"/>
          <w:lang w:val="en-US"/>
        </w:rPr>
      </w:pPr>
      <w:r w:rsidRPr="006B0DFA">
        <w:rPr>
          <w:rFonts w:cs="Lucida Sans Unicode"/>
          <w:b/>
          <w:color w:val="808080" w:themeColor="background1" w:themeShade="80"/>
          <w:sz w:val="16"/>
          <w:szCs w:val="18"/>
          <w:lang w:val="en-US"/>
        </w:rPr>
        <w:t xml:space="preserve">Business Line </w:t>
      </w:r>
      <w:bookmarkStart w:id="1" w:name="_GoBack"/>
      <w:bookmarkEnd w:id="1"/>
    </w:p>
    <w:p w14:paraId="53ACAF0B" w14:textId="77777777" w:rsidR="00A45617" w:rsidRPr="006B0DFA" w:rsidRDefault="00A45617" w:rsidP="00A45617">
      <w:pPr>
        <w:autoSpaceDE w:val="0"/>
        <w:autoSpaceDN w:val="0"/>
        <w:adjustRightInd w:val="0"/>
        <w:spacing w:line="220" w:lineRule="exact"/>
        <w:jc w:val="both"/>
        <w:rPr>
          <w:rFonts w:cs="Lucida Sans Unicode"/>
          <w:b/>
          <w:color w:val="808080" w:themeColor="background1" w:themeShade="80"/>
          <w:sz w:val="16"/>
          <w:szCs w:val="18"/>
          <w:lang w:val="en-US"/>
        </w:rPr>
      </w:pPr>
      <w:r w:rsidRPr="006B0DFA">
        <w:rPr>
          <w:rFonts w:cs="Lucida Sans Unicode"/>
          <w:b/>
          <w:color w:val="808080" w:themeColor="background1" w:themeShade="80"/>
          <w:sz w:val="16"/>
          <w:szCs w:val="18"/>
          <w:lang w:val="en-US"/>
        </w:rPr>
        <w:t>C4-chemicals@evonik.com</w:t>
      </w:r>
    </w:p>
    <w:p w14:paraId="22C42964" w14:textId="77777777" w:rsidR="00A45617" w:rsidRPr="00A45617" w:rsidRDefault="00A45617" w:rsidP="005439EA">
      <w:pPr>
        <w:autoSpaceDE w:val="0"/>
        <w:autoSpaceDN w:val="0"/>
        <w:adjustRightInd w:val="0"/>
        <w:spacing w:line="220" w:lineRule="exact"/>
        <w:jc w:val="both"/>
        <w:rPr>
          <w:lang w:val="en-US"/>
        </w:rPr>
      </w:pPr>
      <w:r w:rsidRPr="006B0DFA">
        <w:rPr>
          <w:rFonts w:cs="Lucida Sans Unicode"/>
          <w:b/>
          <w:color w:val="808080" w:themeColor="background1" w:themeShade="80"/>
          <w:sz w:val="16"/>
          <w:szCs w:val="18"/>
          <w:lang w:val="en-US"/>
        </w:rPr>
        <w:t>www.evonik.com/C4chemicals</w:t>
      </w:r>
    </w:p>
    <w:sectPr w:rsidR="00A45617" w:rsidRPr="00A45617" w:rsidSect="005439EA">
      <w:headerReference w:type="default" r:id="rId11"/>
      <w:footerReference w:type="default" r:id="rId12"/>
      <w:headerReference w:type="first" r:id="rId13"/>
      <w:footerReference w:type="first" r:id="rId14"/>
      <w:type w:val="continuous"/>
      <w:pgSz w:w="11906" w:h="16838" w:code="9"/>
      <w:pgMar w:top="2268" w:right="2125"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A92C" w14:textId="77777777" w:rsidR="00AE171D" w:rsidRDefault="00AE171D" w:rsidP="00FD1184">
      <w:r>
        <w:separator/>
      </w:r>
    </w:p>
  </w:endnote>
  <w:endnote w:type="continuationSeparator" w:id="0">
    <w:p w14:paraId="009593E4" w14:textId="77777777" w:rsidR="00AE171D" w:rsidRDefault="00AE171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EBD3" w14:textId="77777777" w:rsidR="00AE171D" w:rsidRDefault="00AE171D">
    <w:pPr>
      <w:pStyle w:val="Fuzeile"/>
    </w:pPr>
  </w:p>
  <w:p w14:paraId="24E5E102" w14:textId="77777777" w:rsidR="00AE171D" w:rsidRDefault="00AE171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682" w14:textId="77777777" w:rsidR="00AE171D" w:rsidRDefault="00AE171D" w:rsidP="00316EC0">
    <w:pPr>
      <w:pStyle w:val="Fuzeile"/>
    </w:pPr>
  </w:p>
  <w:p w14:paraId="30C70DA5" w14:textId="77777777" w:rsidR="00AE171D" w:rsidRPr="005225EC" w:rsidRDefault="00AE171D"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9A3CF" w14:textId="77777777" w:rsidR="00AE171D" w:rsidRDefault="00AE171D" w:rsidP="00FD1184">
      <w:r>
        <w:separator/>
      </w:r>
    </w:p>
  </w:footnote>
  <w:footnote w:type="continuationSeparator" w:id="0">
    <w:p w14:paraId="4AEA53A6" w14:textId="77777777" w:rsidR="00AE171D" w:rsidRDefault="00AE171D"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ACDF" w14:textId="77777777" w:rsidR="00AE171D" w:rsidRPr="003F4CD0" w:rsidRDefault="00AE171D"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7E439221" wp14:editId="0149F214">
          <wp:simplePos x="0" y="0"/>
          <wp:positionH relativeFrom="column">
            <wp:posOffset>0</wp:posOffset>
          </wp:positionH>
          <wp:positionV relativeFrom="paragraph">
            <wp:posOffset>-17780</wp:posOffset>
          </wp:positionV>
          <wp:extent cx="1065600" cy="151200"/>
          <wp:effectExtent l="0" t="0" r="1270" b="1270"/>
          <wp:wrapNone/>
          <wp:docPr id="10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0CD8A6EF" wp14:editId="6E88E51B">
          <wp:simplePos x="0" y="0"/>
          <wp:positionH relativeFrom="column">
            <wp:posOffset>4266565</wp:posOffset>
          </wp:positionH>
          <wp:positionV relativeFrom="paragraph">
            <wp:posOffset>-144145</wp:posOffset>
          </wp:positionV>
          <wp:extent cx="1872000" cy="500400"/>
          <wp:effectExtent l="0" t="0" r="0" b="0"/>
          <wp:wrapNone/>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4CEA" w14:textId="587CBA0C" w:rsidR="00AE171D" w:rsidRPr="003F4CD0" w:rsidRDefault="00AE171D">
    <w:pPr>
      <w:pStyle w:val="Kopfzeile"/>
      <w:rPr>
        <w:sz w:val="2"/>
        <w:szCs w:val="2"/>
      </w:rPr>
    </w:pPr>
    <w:r>
      <w:rPr>
        <w:noProof/>
        <w:sz w:val="2"/>
        <w:szCs w:val="2"/>
      </w:rPr>
      <w:drawing>
        <wp:anchor distT="0" distB="0" distL="114300" distR="114300" simplePos="0" relativeHeight="251665408" behindDoc="0" locked="0" layoutInCell="1" allowOverlap="1" wp14:anchorId="557CCC9D" wp14:editId="08B50DA7">
          <wp:simplePos x="0" y="0"/>
          <wp:positionH relativeFrom="column">
            <wp:posOffset>2174240</wp:posOffset>
          </wp:positionH>
          <wp:positionV relativeFrom="paragraph">
            <wp:posOffset>104140</wp:posOffset>
          </wp:positionV>
          <wp:extent cx="1097280" cy="213360"/>
          <wp:effectExtent l="0" t="0" r="762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213360"/>
                  </a:xfrm>
                  <a:prstGeom prst="rect">
                    <a:avLst/>
                  </a:prstGeom>
                  <a:noFill/>
                </pic:spPr>
              </pic:pic>
            </a:graphicData>
          </a:graphic>
        </wp:anchor>
      </w:drawing>
    </w:r>
    <w:r>
      <w:rPr>
        <w:noProof/>
        <w:sz w:val="2"/>
        <w:szCs w:val="2"/>
      </w:rPr>
      <w:drawing>
        <wp:anchor distT="0" distB="0" distL="114300" distR="114300" simplePos="0" relativeHeight="251664384" behindDoc="0" locked="0" layoutInCell="1" allowOverlap="1" wp14:anchorId="60EF536C" wp14:editId="76DE105F">
          <wp:simplePos x="0" y="0"/>
          <wp:positionH relativeFrom="margin">
            <wp:align>left</wp:align>
          </wp:positionH>
          <wp:positionV relativeFrom="paragraph">
            <wp:posOffset>66040</wp:posOffset>
          </wp:positionV>
          <wp:extent cx="847725" cy="262255"/>
          <wp:effectExtent l="0" t="0" r="9525"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62255"/>
                  </a:xfrm>
                  <a:prstGeom prst="rect">
                    <a:avLst/>
                  </a:prstGeom>
                  <a:noFill/>
                </pic:spPr>
              </pic:pic>
            </a:graphicData>
          </a:graphic>
        </wp:anchor>
      </w:drawing>
    </w:r>
    <w:r w:rsidRPr="003F4CD0">
      <w:rPr>
        <w:noProof/>
        <w:sz w:val="2"/>
        <w:szCs w:val="2"/>
        <w:lang w:val="de-DE"/>
      </w:rPr>
      <w:drawing>
        <wp:anchor distT="0" distB="0" distL="114300" distR="114300" simplePos="0" relativeHeight="251659264" behindDoc="1" locked="0" layoutInCell="1" allowOverlap="1" wp14:anchorId="14CA30B0" wp14:editId="66CD8E37">
          <wp:simplePos x="0" y="0"/>
          <wp:positionH relativeFrom="column">
            <wp:posOffset>4266565</wp:posOffset>
          </wp:positionH>
          <wp:positionV relativeFrom="paragraph">
            <wp:posOffset>-144145</wp:posOffset>
          </wp:positionV>
          <wp:extent cx="1872000" cy="500400"/>
          <wp:effectExtent l="0" t="0" r="0" b="0"/>
          <wp:wrapNone/>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26473"/>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4E6A"/>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439EA"/>
    <w:rsid w:val="00552ADA"/>
    <w:rsid w:val="0057548A"/>
    <w:rsid w:val="00582643"/>
    <w:rsid w:val="00582C0E"/>
    <w:rsid w:val="005839DE"/>
    <w:rsid w:val="00583E3E"/>
    <w:rsid w:val="00587C52"/>
    <w:rsid w:val="005A119C"/>
    <w:rsid w:val="005A20AE"/>
    <w:rsid w:val="005A73EC"/>
    <w:rsid w:val="005A7D03"/>
    <w:rsid w:val="005C5615"/>
    <w:rsid w:val="005E3211"/>
    <w:rsid w:val="005E6AE3"/>
    <w:rsid w:val="005E799F"/>
    <w:rsid w:val="005F234C"/>
    <w:rsid w:val="005F50D9"/>
    <w:rsid w:val="005F7D8D"/>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33D3"/>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2B65"/>
    <w:rsid w:val="009C40DA"/>
    <w:rsid w:val="009C5F4B"/>
    <w:rsid w:val="009E4892"/>
    <w:rsid w:val="009F6AA2"/>
    <w:rsid w:val="00A16154"/>
    <w:rsid w:val="00A30BD0"/>
    <w:rsid w:val="00A333FB"/>
    <w:rsid w:val="00A34137"/>
    <w:rsid w:val="00A3644E"/>
    <w:rsid w:val="00A375B5"/>
    <w:rsid w:val="00A41C88"/>
    <w:rsid w:val="00A45617"/>
    <w:rsid w:val="00A525CB"/>
    <w:rsid w:val="00A60CE5"/>
    <w:rsid w:val="00A70C5E"/>
    <w:rsid w:val="00A712B8"/>
    <w:rsid w:val="00A804CC"/>
    <w:rsid w:val="00A81F2D"/>
    <w:rsid w:val="00A94EC5"/>
    <w:rsid w:val="00A97CD7"/>
    <w:rsid w:val="00A97EAD"/>
    <w:rsid w:val="00AA15C6"/>
    <w:rsid w:val="00AE171D"/>
    <w:rsid w:val="00AE3848"/>
    <w:rsid w:val="00AF0606"/>
    <w:rsid w:val="00AF6529"/>
    <w:rsid w:val="00AF7D27"/>
    <w:rsid w:val="00B2025B"/>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A5F66"/>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7"/>
    <o:shapelayout v:ext="edit">
      <o:idmap v:ext="edit" data="1"/>
    </o:shapelayout>
  </w:shapeDefaults>
  <w:decimalSymbol w:val=","/>
  <w:listSeparator w:val=";"/>
  <w14:docId w14:val="2FABF006"/>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Beschriftung">
    <w:name w:val="caption"/>
    <w:basedOn w:val="Standard"/>
    <w:next w:val="Standard"/>
    <w:uiPriority w:val="35"/>
    <w:unhideWhenUsed/>
    <w:qFormat/>
    <w:rsid w:val="005F7D8D"/>
    <w:pPr>
      <w:spacing w:after="200" w:line="240" w:lineRule="auto"/>
    </w:pPr>
    <w:rPr>
      <w:rFonts w:asciiTheme="minorHAnsi" w:eastAsiaTheme="minorHAnsi" w:hAnsiTheme="minorHAnsi" w:cstheme="minorBidi"/>
      <w:i/>
      <w:iCs/>
      <w:color w:val="1F497D" w:themeColor="text2"/>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DREAM REACTION_in_a_nutshell_EN</Description0>
    <DocumentTitle xmlns="3900a7cd-735b-4f56-a6f4-08d139dd6cc3">DREAM REACTION_in_a_nutshell_EN</DocumentTitle>
    <ThirdCategoryGroup xmlns="3900a7cd-735b-4f56-a6f4-08d139dd6cc3" xsi:nil="true"/>
    <FirstCategoryGroup xmlns="3900a7cd-735b-4f56-a6f4-08d139dd6cc3">Documents</FirstCategoryGroup>
    <DocumentLanguage xmlns="3900a7cd-735b-4f56-a6f4-08d139dd6cc3">EN</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E51F0ED5-6CD7-4D7B-9F61-48B64266D7DC}"/>
</file>

<file path=customXml/itemProps2.xml><?xml version="1.0" encoding="utf-8"?>
<ds:datastoreItem xmlns:ds="http://schemas.openxmlformats.org/officeDocument/2006/customXml" ds:itemID="{5EB54E49-3309-4ED2-B493-7D1E6AE4B20F}"/>
</file>

<file path=customXml/itemProps3.xml><?xml version="1.0" encoding="utf-8"?>
<ds:datastoreItem xmlns:ds="http://schemas.openxmlformats.org/officeDocument/2006/customXml" ds:itemID="{70CC3865-E4A0-4067-99A3-0C6297D453DD}"/>
</file>

<file path=docProps/app.xml><?xml version="1.0" encoding="utf-8"?>
<Properties xmlns="http://schemas.openxmlformats.org/officeDocument/2006/extended-properties" xmlns:vt="http://schemas.openxmlformats.org/officeDocument/2006/docPropsVTypes">
  <Template>BB843565</Template>
  <TotalTime>0</TotalTime>
  <Pages>3</Pages>
  <Words>905</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6355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Dyballa, Katrin Marie</cp:lastModifiedBy>
  <cp:revision>4</cp:revision>
  <cp:lastPrinted>2019-12-04T10:57:00Z</cp:lastPrinted>
  <dcterms:created xsi:type="dcterms:W3CDTF">2019-12-04T10:55:00Z</dcterms:created>
  <dcterms:modified xsi:type="dcterms:W3CDTF">2019-12-04T12:51:00Z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